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AB" w:rsidRDefault="006B68AB" w:rsidP="006B68AB">
      <w:pPr>
        <w:jc w:val="both"/>
      </w:pPr>
      <w:r>
        <w:t>PRACTICA PROFESIONAL III</w:t>
      </w: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  <w:r>
        <w:t xml:space="preserve"> Las fuerzas de seguridad de todo el mundo, como así también  de la policía de la Provincia de Corrientes buscan  todos los recursos  para  conseguir proteger y proveer </w:t>
      </w:r>
      <w:r>
        <w:t xml:space="preserve">a la  seguridad desde una mirada sistémica. </w:t>
      </w: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  <w:r>
        <w:t>Diversas dimensiones que atraviesan a la planificación estratégica. Política de estado en materia de seguridad. Diagnóstico de la realidad social, política e institucional. Participación de actores institucionales. Reflexión en la acción desde el análisis del binomio planificación- evaluación. Aspectos temporal y espacial en el diseño de la planificación. Estrategias de acción para resolver los problemas actuales.</w:t>
      </w: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  <w:r>
        <w:t>Fundamentación: La seguridad se encuentra atravesada por múltiples dimensiones. Son muchos los desafíos que se deben afrontar para garantizar una convivencia pacífica. La seguridad integral y el orden público, así como la protección de los derechos, libertades y garantías de la ciudadanía, con</w:t>
      </w:r>
      <w:r>
        <w:t>s</w:t>
      </w:r>
      <w:r>
        <w:t>tituyen una responsabilidad directa de la policía y constituyen los pilares de una sociedad.</w:t>
      </w: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  <w:r>
        <w:t xml:space="preserve">El plexo de principios y valores, que tiene relación con la misión y funciones de la policía, se aplica en miras a las características y peculiaridades de la realidad social, en orden a los procedimientos que norman las acciones destinadas a alcanzar una finalidad específica. </w:t>
      </w:r>
    </w:p>
    <w:p w:rsidR="006B68AB" w:rsidRDefault="006B68AB" w:rsidP="006B68AB">
      <w:pPr>
        <w:jc w:val="both"/>
      </w:pPr>
    </w:p>
    <w:p w:rsidR="006B68AB" w:rsidRDefault="006B68AB" w:rsidP="006B68AB">
      <w:pPr>
        <w:jc w:val="both"/>
      </w:pPr>
      <w:r>
        <w:t>En el devenir de la función policial, resulta necesario establecer una planificación de las acciones institucionales. Aquí se ponen en juego el conocimiento de la realidad y la adecuación de los recursos para la consecución de los objetivos planteados, en pos del cumplimiento del orden público, la seguridad ciudadana, y los derechos y libertades de los ciudadanos.</w:t>
      </w:r>
    </w:p>
    <w:p w:rsidR="006B68AB" w:rsidRDefault="006B68AB" w:rsidP="006B68AB">
      <w:pPr>
        <w:jc w:val="both"/>
      </w:pPr>
    </w:p>
    <w:p w:rsidR="00622ADC" w:rsidRDefault="006B68AB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t>Frente a los nuevos escenarios, en un mundo cada vez más complejo, la planificación estratégica se convierte en una herramienta imprescindible para la organización de las acciones tendientes a la actuación policial fundada y con ello el fortalecim</w:t>
      </w:r>
      <w:r>
        <w:t>iento del servicio de seguridad y se vincula directa y necesariamente con las técnicas de Investigación Científica Sociológicas.</w:t>
      </w:r>
      <w:r w:rsidR="00622ADC" w:rsidRPr="00622ADC">
        <w:rPr>
          <w:rFonts w:ascii="BodoniMT-Bold" w:hAnsi="BodoniMT-Bold" w:cs="BodoniMT-Bold"/>
          <w:b/>
          <w:bCs/>
          <w:sz w:val="24"/>
          <w:szCs w:val="24"/>
        </w:rPr>
        <w:t xml:space="preserve">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1. Ubicación curricular de la materia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Carrera</w:t>
      </w:r>
      <w:r w:rsidRPr="00622ADC">
        <w:rPr>
          <w:rFonts w:ascii="BodoniMT" w:hAnsi="BodoniMT" w:cs="BodoniMT"/>
          <w:sz w:val="24"/>
          <w:szCs w:val="24"/>
        </w:rPr>
        <w:t>: Tecnicatura  en Seguridad Publica y Ciudadana-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Año de la asignatura</w:t>
      </w:r>
      <w:r w:rsidRPr="00622ADC">
        <w:rPr>
          <w:rFonts w:ascii="BodoniMT" w:hAnsi="BodoniMT" w:cs="BodoniMT"/>
          <w:sz w:val="24"/>
          <w:szCs w:val="24"/>
        </w:rPr>
        <w:t>: Primer año.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Asignatura</w:t>
      </w:r>
      <w:r w:rsidRPr="00622ADC">
        <w:rPr>
          <w:rFonts w:ascii="BodoniMT" w:hAnsi="BodoniMT" w:cs="BodoniMT"/>
          <w:sz w:val="24"/>
          <w:szCs w:val="24"/>
        </w:rPr>
        <w:t>: Metodología de la Investigación Aplicada a la Seguridad Pública.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Cuatrimestre</w:t>
      </w:r>
      <w:r w:rsidRPr="00622ADC">
        <w:rPr>
          <w:rFonts w:ascii="BodoniMT" w:hAnsi="BodoniMT" w:cs="BodoniMT"/>
          <w:sz w:val="24"/>
          <w:szCs w:val="24"/>
        </w:rPr>
        <w:t>: Anual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Carga horaria semanal</w:t>
      </w:r>
      <w:r w:rsidRPr="00622ADC">
        <w:rPr>
          <w:rFonts w:ascii="BodoniMT" w:hAnsi="BodoniMT" w:cs="BodoniMT"/>
          <w:sz w:val="24"/>
          <w:szCs w:val="24"/>
        </w:rPr>
        <w:t>: 4horas (Jueves de 08 a 12hs.)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Cs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t>2. Conformación del equipo docente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Cs/>
          <w:sz w:val="24"/>
          <w:szCs w:val="24"/>
        </w:rPr>
      </w:pPr>
      <w:r w:rsidRPr="00622ADC">
        <w:rPr>
          <w:rFonts w:ascii="BodoniMT-Bold" w:hAnsi="BodoniMT-Bold" w:cs="BodoniMT-Bold"/>
          <w:bCs/>
          <w:sz w:val="24"/>
          <w:szCs w:val="24"/>
        </w:rPr>
        <w:lastRenderedPageBreak/>
        <w:t>Nombres y apellido Cargo Docente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Cs/>
          <w:sz w:val="24"/>
          <w:szCs w:val="24"/>
        </w:rPr>
      </w:pPr>
      <w:r>
        <w:rPr>
          <w:rFonts w:ascii="BodoniMT-Bold" w:hAnsi="BodoniMT-Bold" w:cs="BodoniMT-Bold"/>
          <w:bCs/>
          <w:sz w:val="24"/>
          <w:szCs w:val="24"/>
        </w:rPr>
        <w:t xml:space="preserve"> Dr. Sena Ricardo</w:t>
      </w:r>
    </w:p>
    <w:p w:rsidR="00622ADC" w:rsidRP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 </w:t>
      </w:r>
      <w:proofErr w:type="spellStart"/>
      <w:r>
        <w:rPr>
          <w:rFonts w:ascii="BodoniMT" w:hAnsi="BodoniMT" w:cs="BodoniMT"/>
          <w:sz w:val="24"/>
          <w:szCs w:val="24"/>
        </w:rPr>
        <w:t>Dra.</w:t>
      </w:r>
      <w:r w:rsidRPr="00622ADC">
        <w:rPr>
          <w:rFonts w:ascii="BodoniMT" w:hAnsi="BodoniMT" w:cs="BodoniMT"/>
          <w:sz w:val="24"/>
          <w:szCs w:val="24"/>
        </w:rPr>
        <w:t>Griselda</w:t>
      </w:r>
      <w:proofErr w:type="spellEnd"/>
      <w:r w:rsidRPr="00622ADC">
        <w:rPr>
          <w:rFonts w:ascii="BodoniMT" w:hAnsi="BodoniMT" w:cs="BodoniMT"/>
          <w:sz w:val="24"/>
          <w:szCs w:val="24"/>
        </w:rPr>
        <w:t xml:space="preserve"> Beatriz Balbuena </w:t>
      </w:r>
      <w:proofErr w:type="spellStart"/>
      <w:r w:rsidRPr="00622ADC">
        <w:rPr>
          <w:rFonts w:ascii="BodoniMT" w:hAnsi="BodoniMT" w:cs="BodoniMT"/>
          <w:sz w:val="24"/>
          <w:szCs w:val="24"/>
        </w:rPr>
        <w:t>Melana</w:t>
      </w:r>
      <w:proofErr w:type="spellEnd"/>
      <w:r w:rsidRPr="00622ADC">
        <w:rPr>
          <w:rFonts w:ascii="BodoniMT" w:hAnsi="BodoniMT" w:cs="BodoniMT"/>
          <w:sz w:val="24"/>
          <w:szCs w:val="24"/>
        </w:rPr>
        <w:t xml:space="preserve">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3. Fundamentación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La asignatura </w:t>
      </w:r>
      <w:r>
        <w:rPr>
          <w:rFonts w:ascii="BodoniMT-Italic" w:hAnsi="BodoniMT-Italic" w:cs="BodoniMT-Italic"/>
          <w:i/>
          <w:iCs/>
          <w:sz w:val="24"/>
          <w:szCs w:val="24"/>
        </w:rPr>
        <w:t xml:space="preserve">Metodología de la investigación social aplicada a la seguridad </w:t>
      </w:r>
      <w:r>
        <w:rPr>
          <w:rFonts w:ascii="BodoniMT" w:hAnsi="BodoniMT" w:cs="BodoniMT"/>
          <w:sz w:val="24"/>
          <w:szCs w:val="24"/>
        </w:rPr>
        <w:t>se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encuentra</w:t>
      </w:r>
      <w:proofErr w:type="gramEnd"/>
      <w:r>
        <w:rPr>
          <w:rFonts w:ascii="BodoniMT" w:hAnsi="BodoniMT" w:cs="BodoniMT"/>
          <w:sz w:val="24"/>
          <w:szCs w:val="24"/>
        </w:rPr>
        <w:t xml:space="preserve"> ubicada en el  primer año del plan de estudios y prevé una modalidad de cursado teórico – práctico, con clases presenciales e instancias de apoyo virtual.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Dos propósitos orientan la propuesta de la asignatura: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 a)- Proporcionar una</w:t>
      </w:r>
      <w:r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mirada amplia y reflexiva sobre los procedimientos y decisiones aplicados en el proceso de investigación social relevantes en el ámbito de la seguridad pública; y b)- Contribuir a la formación de competencias metodológicas para la formulación de proyectos de investigación y para su implementación, con especial énfasis en el diseño interdisciplinario.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El desarrollo de las nociones sobre la investigación requiere no sólo del conocimiento de las tareas que implican la actividad, sino también del sustento teórico necesario para comprender por qué y para qué las acciones investigativas asumen ciertas dimensiones.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En este sentido, el método se torna endeble sin la epistemología que explica cuál es el lugar de la producción y justificación o validación del conocimiento para cierto campo del saber; es desde este lugar que se organizan los contenidos de la asig</w:t>
      </w:r>
      <w:r>
        <w:rPr>
          <w:rFonts w:ascii="BodoniMT" w:hAnsi="BodoniMT" w:cs="BodoniMT"/>
          <w:sz w:val="24"/>
          <w:szCs w:val="24"/>
        </w:rPr>
        <w:t>natura en cuatro ejes temáticos</w:t>
      </w:r>
      <w:r>
        <w:rPr>
          <w:rFonts w:ascii="BodoniMT" w:hAnsi="BodoniMT" w:cs="BodoniMT"/>
          <w:sz w:val="24"/>
          <w:szCs w:val="24"/>
        </w:rPr>
        <w:t>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El primero, dos unidades dedicadas a las cuestiones epistemológicas que están en el trasfondo de las decisiones metodológicas.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 El segundo  eje - con tres unidades los procedimientos y otras consideraciones que hacen a la metodología. No se hará una diferencia temporal o secuencia rígida entre la teoría y la práctica, sino un vínculo dialógico y dialéctico, es decir que la teoría se desarrollará a medida que la práctica de la investigación lo requiera y el estudiante avance en la elaboración de su trabajo.</w:t>
      </w:r>
    </w:p>
    <w:p w:rsidR="00622ADC" w:rsidRPr="002A675E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lastRenderedPageBreak/>
        <w:t xml:space="preserve"> Para ello, éste reconocerá la lógica de la investigación científica a través de la lectura de informes de investigaciones (tesis, artículos, ponencias, entre otros) publicados</w:t>
      </w:r>
      <w:r w:rsidR="002A675E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 xml:space="preserve">en revistas de investigación especializadas y/o vinculadas con problemáticas de la Seguridad pública y ciudadana y, a la vez, elaborará un bosquejo de un proyecto de investigación, que podría tener continuidad en el </w:t>
      </w:r>
      <w:r>
        <w:rPr>
          <w:rFonts w:ascii="BodoniMT-Italic" w:hAnsi="BodoniMT-Italic" w:cs="BodoniMT-Italic"/>
          <w:i/>
          <w:iCs/>
          <w:sz w:val="24"/>
          <w:szCs w:val="24"/>
        </w:rPr>
        <w:t>Taller de apoyo al trabajo final.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El eje tres  se referirá a aspectos relacionados a cuestiones de derecho administrativo institucional, a fin de que sus trabajos puedan ser presentados y evaluados a nivel ministerial.</w:t>
      </w:r>
    </w:p>
    <w:p w:rsidR="00622ADC" w:rsidRPr="00FD20E5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 xml:space="preserve">El eje cuatro se referirá aspectos relacionados con la presentación pública de los proyectos y su defensa.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Los contenidos del programa únicamente se refieren a los aspectos epistemológicos y metodológicos de la investigación social aplicada a la seguridad, apoyados en conocimientos de derecho administrativo y derechos humanos.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Dentro del actual paradigma de la seguridad pública y ciudadana, se prevé- </w:t>
      </w:r>
      <w:proofErr w:type="spellStart"/>
      <w:r>
        <w:rPr>
          <w:rFonts w:ascii="BodoniMT" w:hAnsi="BodoniMT" w:cs="BodoniMT"/>
          <w:sz w:val="24"/>
          <w:szCs w:val="24"/>
        </w:rPr>
        <w:t>envirtud</w:t>
      </w:r>
      <w:proofErr w:type="spellEnd"/>
      <w:r>
        <w:rPr>
          <w:rFonts w:ascii="BodoniMT" w:hAnsi="BodoniMT" w:cs="BodoniMT"/>
          <w:sz w:val="24"/>
          <w:szCs w:val="24"/>
        </w:rPr>
        <w:t xml:space="preserve"> de la complejidad inherente a este campo que exige abordajes interdisciplinarios-</w:t>
      </w:r>
      <w:proofErr w:type="gramStart"/>
      <w:r>
        <w:rPr>
          <w:rFonts w:ascii="BodoniMT" w:hAnsi="BodoniMT" w:cs="BodoniMT"/>
          <w:sz w:val="24"/>
          <w:szCs w:val="24"/>
        </w:rPr>
        <w:t>,trabajar</w:t>
      </w:r>
      <w:proofErr w:type="gramEnd"/>
      <w:r>
        <w:rPr>
          <w:rFonts w:ascii="BodoniMT" w:hAnsi="BodoniMT" w:cs="BodoniMT"/>
          <w:sz w:val="24"/>
          <w:szCs w:val="24"/>
        </w:rPr>
        <w:t xml:space="preserve"> con temáticas afines, que subsumen intereses diversos de los cursantes y admiten enfoques cualitativos, cuantitativos y mixtos.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4. Objetivos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A partir del desarrollo de esta propuesta se espera</w:t>
      </w:r>
      <w:r>
        <w:rPr>
          <w:rFonts w:ascii="BodoniMT" w:hAnsi="BodoniMT" w:cs="BodoniMT"/>
          <w:sz w:val="24"/>
          <w:szCs w:val="24"/>
        </w:rPr>
        <w:t>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- Proporcionar una mirada amplia y reflexiva sobre los procedimientos y decisiones aplicados en el proceso de investigación social relevante en el ámbito de la seguridad pública.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- Contribuir a la formación de competencias metodológicas para la formulación de proyectos de investigación y para su implementación, con especial énfasis en el diseño interdisciplinario.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Y que los cursantes</w:t>
      </w:r>
      <w:r>
        <w:rPr>
          <w:rFonts w:ascii="BodoniMT" w:hAnsi="BodoniMT" w:cs="BodoniMT"/>
          <w:sz w:val="24"/>
          <w:szCs w:val="24"/>
        </w:rPr>
        <w:t>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+ </w:t>
      </w:r>
      <w:r>
        <w:rPr>
          <w:rFonts w:ascii="BodoniMT" w:hAnsi="BodoniMT" w:cs="BodoniMT"/>
          <w:sz w:val="24"/>
          <w:szCs w:val="24"/>
        </w:rPr>
        <w:t>Analicen los marcos epistemológicos de encuadre de las diversas metodologías y praxis investigativas en el campo de las Ciencias Sociales.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+ </w:t>
      </w:r>
      <w:r>
        <w:rPr>
          <w:rFonts w:ascii="BodoniMT" w:hAnsi="BodoniMT" w:cs="BodoniMT"/>
          <w:sz w:val="24"/>
          <w:szCs w:val="24"/>
        </w:rPr>
        <w:t>Dispongan de elementos introductorios sobre el desarrollo de conjunto del proceso de investigación a través del examen de las vinculaciones de sus componentes teóricos y empíricos.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 xml:space="preserve">+ </w:t>
      </w:r>
      <w:r>
        <w:rPr>
          <w:rFonts w:ascii="BodoniMT" w:hAnsi="BodoniMT" w:cs="BodoniMT"/>
          <w:sz w:val="24"/>
          <w:szCs w:val="24"/>
        </w:rPr>
        <w:t>Transfieran conceptos y nociones metodológicas fundamentales al análisis de situaciones – problemas en el campo de la seguridad pública y ciudadana, a fin de esbozar el diseño preliminar de una futura propuesta de investigación.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CourierNewPSMT" w:hAnsi="CourierNewPSMT" w:cs="CourierNewPSMT"/>
          <w:sz w:val="24"/>
          <w:szCs w:val="24"/>
        </w:rPr>
        <w:t>o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Conozcan las normas básicas para la presentación de trabajos científicos.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5. Contenidos</w:t>
      </w:r>
      <w:r w:rsidR="002A675E">
        <w:rPr>
          <w:rFonts w:ascii="BodoniMT-Bold" w:hAnsi="BodoniMT-Bold" w:cs="BodoniMT-Bold"/>
          <w:b/>
          <w:bCs/>
          <w:sz w:val="24"/>
          <w:szCs w:val="24"/>
        </w:rPr>
        <w:t xml:space="preserve"> </w:t>
      </w:r>
      <w:proofErr w:type="spellStart"/>
      <w:r w:rsidR="002A675E">
        <w:rPr>
          <w:rFonts w:ascii="BodoniMT-Bold" w:hAnsi="BodoniMT-Bold" w:cs="BodoniMT-Bold"/>
          <w:b/>
          <w:bCs/>
          <w:sz w:val="24"/>
          <w:szCs w:val="24"/>
        </w:rPr>
        <w:t>Programaticos</w:t>
      </w:r>
      <w:proofErr w:type="spellEnd"/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Eje temático I</w:t>
      </w:r>
      <w:r>
        <w:rPr>
          <w:rFonts w:ascii="BodoniMT" w:hAnsi="BodoniMT" w:cs="BodoniMT"/>
          <w:sz w:val="24"/>
          <w:szCs w:val="24"/>
        </w:rPr>
        <w:t xml:space="preserve">. </w:t>
      </w:r>
      <w:r>
        <w:rPr>
          <w:rFonts w:ascii="BodoniMT-Italic" w:hAnsi="BodoniMT-Italic" w:cs="BodoniMT-Italic"/>
          <w:i/>
          <w:iCs/>
          <w:sz w:val="24"/>
          <w:szCs w:val="24"/>
        </w:rPr>
        <w:t xml:space="preserve">Perspectivas epistémico-metodológicas en ciencias sociales y en estudios </w:t>
      </w:r>
      <w:proofErr w:type="spellStart"/>
      <w:r>
        <w:rPr>
          <w:rFonts w:ascii="BodoniMT-Italic" w:hAnsi="BodoniMT-Italic" w:cs="BodoniMT-Italic"/>
          <w:i/>
          <w:iCs/>
          <w:sz w:val="24"/>
          <w:szCs w:val="24"/>
        </w:rPr>
        <w:t>deseguridad</w:t>
      </w:r>
      <w:proofErr w:type="spellEnd"/>
      <w:r>
        <w:rPr>
          <w:rFonts w:ascii="BodoniMT-Italic" w:hAnsi="BodoniMT-Italic" w:cs="BodoniMT-Italic"/>
          <w:i/>
          <w:iCs/>
          <w:sz w:val="24"/>
          <w:szCs w:val="24"/>
        </w:rPr>
        <w:t xml:space="preserve"> pública y ciudadana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Unidad 1</w:t>
      </w:r>
      <w:r>
        <w:rPr>
          <w:rFonts w:ascii="BodoniMT" w:hAnsi="BodoniMT" w:cs="BodoniMT"/>
          <w:sz w:val="24"/>
          <w:szCs w:val="24"/>
        </w:rPr>
        <w:t>. ¿Qué es la metodología de la investigación científica? Las dicotomías de las ciencias: formales/fácticas; naturales/humanas. ¿Explicación o comprensión? El objeto de</w:t>
      </w:r>
      <w:r w:rsidR="00EF3BA9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estudio de la Seguridad Pública y Ciudadana en el contexto en las ciencias sociales y</w:t>
      </w:r>
      <w:r w:rsidR="00EF3BA9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humanas.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Unidad 2</w:t>
      </w:r>
      <w:r>
        <w:rPr>
          <w:rFonts w:ascii="BodoniMT" w:hAnsi="BodoniMT" w:cs="BodoniMT"/>
          <w:sz w:val="24"/>
          <w:szCs w:val="24"/>
        </w:rPr>
        <w:t xml:space="preserve">. La producción y validación de conocimientos en las Ciencias </w:t>
      </w:r>
      <w:proofErr w:type="spellStart"/>
      <w:r>
        <w:rPr>
          <w:rFonts w:ascii="BodoniMT" w:hAnsi="BodoniMT" w:cs="BodoniMT"/>
          <w:sz w:val="24"/>
          <w:szCs w:val="24"/>
        </w:rPr>
        <w:t>Sociales.Epistemologías</w:t>
      </w:r>
      <w:proofErr w:type="spellEnd"/>
      <w:r>
        <w:rPr>
          <w:rFonts w:ascii="BodoniMT" w:hAnsi="BodoniMT" w:cs="BodoniMT"/>
          <w:sz w:val="24"/>
          <w:szCs w:val="24"/>
        </w:rPr>
        <w:t xml:space="preserve"> y paradigmas de investigación en Ciencias Sociales: </w:t>
      </w:r>
      <w:proofErr w:type="spellStart"/>
      <w:r>
        <w:rPr>
          <w:rFonts w:ascii="BodoniMT" w:hAnsi="BodoniMT" w:cs="BodoniMT"/>
          <w:sz w:val="24"/>
          <w:szCs w:val="24"/>
        </w:rPr>
        <w:t>positivista</w:t>
      </w:r>
      <w:proofErr w:type="gramStart"/>
      <w:r>
        <w:rPr>
          <w:rFonts w:ascii="BodoniMT" w:hAnsi="BodoniMT" w:cs="BodoniMT"/>
          <w:sz w:val="24"/>
          <w:szCs w:val="24"/>
        </w:rPr>
        <w:t>,interpretativo</w:t>
      </w:r>
      <w:proofErr w:type="spellEnd"/>
      <w:proofErr w:type="gramEnd"/>
      <w:r>
        <w:rPr>
          <w:rFonts w:ascii="BodoniMT" w:hAnsi="BodoniMT" w:cs="BodoniMT"/>
          <w:sz w:val="24"/>
          <w:szCs w:val="24"/>
        </w:rPr>
        <w:t xml:space="preserve"> y crítico y su vinculación con las lógicas de investigación cuantitativas y</w:t>
      </w:r>
      <w:r w:rsidR="00EF3BA9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cualitativas. La investigación como proceso lineal o como proceso circular.</w:t>
      </w:r>
      <w:r w:rsidR="00EF3BA9">
        <w:rPr>
          <w:rFonts w:ascii="BodoniMT" w:hAnsi="BodoniMT" w:cs="BodoniMT"/>
          <w:sz w:val="24"/>
          <w:szCs w:val="24"/>
        </w:rPr>
        <w:t xml:space="preserve"> Lineamientos  de derecho Constitucional  y Derechos Humanos en la Investigación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Eje temático II</w:t>
      </w:r>
      <w:r>
        <w:rPr>
          <w:rFonts w:ascii="BodoniMT" w:hAnsi="BodoniMT" w:cs="BodoniMT"/>
          <w:sz w:val="24"/>
          <w:szCs w:val="24"/>
        </w:rPr>
        <w:t xml:space="preserve">. </w:t>
      </w:r>
      <w:r>
        <w:rPr>
          <w:rFonts w:ascii="BodoniMT-Italic" w:hAnsi="BodoniMT-Italic" w:cs="BodoniMT-Italic"/>
          <w:i/>
          <w:iCs/>
          <w:sz w:val="24"/>
          <w:szCs w:val="24"/>
        </w:rPr>
        <w:t>Procedimientos metodológicos de las ciencias sociales y estudios de seguridad</w:t>
      </w:r>
      <w:r w:rsidR="00EF3BA9">
        <w:rPr>
          <w:rFonts w:ascii="BodoniMT-Italic" w:hAnsi="BodoniMT-Italic" w:cs="BodoniMT-Italic"/>
          <w:i/>
          <w:iCs/>
          <w:sz w:val="24"/>
          <w:szCs w:val="24"/>
        </w:rPr>
        <w:t xml:space="preserve"> </w:t>
      </w:r>
      <w:r>
        <w:rPr>
          <w:rFonts w:ascii="BodoniMT-Italic" w:hAnsi="BodoniMT-Italic" w:cs="BodoniMT-Italic"/>
          <w:i/>
          <w:iCs/>
          <w:sz w:val="24"/>
          <w:szCs w:val="24"/>
        </w:rPr>
        <w:t>pública y ciudadana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Unidad 3</w:t>
      </w:r>
      <w:r>
        <w:rPr>
          <w:rFonts w:ascii="BodoniMT" w:hAnsi="BodoniMT" w:cs="BodoniMT"/>
          <w:sz w:val="24"/>
          <w:szCs w:val="24"/>
        </w:rPr>
        <w:t>. La construcción teórica del objeto de investigación. Problemas de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investigación</w:t>
      </w:r>
      <w:proofErr w:type="gramEnd"/>
      <w:r>
        <w:rPr>
          <w:rFonts w:ascii="BodoniMT" w:hAnsi="BodoniMT" w:cs="BodoniMT"/>
          <w:sz w:val="24"/>
          <w:szCs w:val="24"/>
        </w:rPr>
        <w:t>. Sus vínculos con la praxis profesional. El marco teórico en la configuración de problemas y supuestos. Las hipótesis y las anticipaciones de sentido como guías de investigación. Los objetivos. Objetivos generales y específicos. Relaciones entre problemas, hipótesis y objetivos.</w:t>
      </w:r>
      <w:r w:rsidR="00EF3BA9">
        <w:rPr>
          <w:rFonts w:ascii="BodoniMT" w:hAnsi="BodoniMT" w:cs="BodoniMT"/>
          <w:sz w:val="24"/>
          <w:szCs w:val="24"/>
        </w:rPr>
        <w:t xml:space="preserve"> Casos y Legislaciones actuales.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Unidad 4</w:t>
      </w:r>
      <w:r>
        <w:rPr>
          <w:rFonts w:ascii="BodoniMT" w:hAnsi="BodoniMT" w:cs="BodoniMT"/>
          <w:sz w:val="24"/>
          <w:szCs w:val="24"/>
        </w:rPr>
        <w:t>. La construcción empírica del objeto de investigación. Tipos de diseño. Definición empírica: unidades de análisis, variables, dimensiones e indicadores. Matrices de datos. Muestra y criterios de selección. Condiciones de factibilidad y viabilidad. Estrategias de obtención de información: fuentes, técnica, procedimientos e instrumentos. Criterios de selección. Plan de tratamiento y análisis de datos.</w:t>
      </w:r>
      <w:r w:rsidR="00EF3BA9">
        <w:rPr>
          <w:rFonts w:ascii="BodoniMT" w:hAnsi="BodoniMT" w:cs="BodoniMT"/>
          <w:sz w:val="24"/>
          <w:szCs w:val="24"/>
        </w:rPr>
        <w:t xml:space="preserve"> </w:t>
      </w:r>
      <w:bookmarkStart w:id="0" w:name="_GoBack"/>
      <w:bookmarkEnd w:id="0"/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-Italic" w:hAnsi="BodoniMT-Italic" w:cs="BodoniMT-Italic"/>
          <w:i/>
          <w:iCs/>
          <w:sz w:val="24"/>
          <w:szCs w:val="24"/>
        </w:rPr>
        <w:t>Unidad 5</w:t>
      </w:r>
      <w:r>
        <w:rPr>
          <w:rFonts w:ascii="BodoniMT" w:hAnsi="BodoniMT" w:cs="BodoniMT"/>
          <w:sz w:val="24"/>
          <w:szCs w:val="24"/>
        </w:rPr>
        <w:t xml:space="preserve">. Decisiones y operaciones relativas a los resultados y su comunicación en la investigación. Procesamiento de datos. Triangulación. </w:t>
      </w:r>
      <w:r>
        <w:rPr>
          <w:rFonts w:ascii="BodoniMT" w:hAnsi="BodoniMT" w:cs="BodoniMT"/>
          <w:sz w:val="24"/>
          <w:szCs w:val="24"/>
        </w:rPr>
        <w:lastRenderedPageBreak/>
        <w:t xml:space="preserve">Presentación, análisis y discusión de los resultados. Las conclusiones como respuesta al problema en los límites de </w:t>
      </w:r>
      <w:proofErr w:type="spellStart"/>
      <w:r>
        <w:rPr>
          <w:rFonts w:ascii="BodoniMT" w:hAnsi="BodoniMT" w:cs="BodoniMT"/>
          <w:sz w:val="24"/>
          <w:szCs w:val="24"/>
        </w:rPr>
        <w:t>labúsqueda</w:t>
      </w:r>
      <w:proofErr w:type="spellEnd"/>
      <w:r>
        <w:rPr>
          <w:rFonts w:ascii="BodoniMT" w:hAnsi="BodoniMT" w:cs="BodoniMT"/>
          <w:sz w:val="24"/>
          <w:szCs w:val="24"/>
        </w:rPr>
        <w:t xml:space="preserve"> fijada por los objetivos de la investigación. Proceso, diseño y proyecto de investigación. Tipos de informes. Pautas de redacción y presentación.- Constitución Nacional Constitución Provincial. Derecho Administr</w:t>
      </w:r>
      <w:r w:rsidR="002A675E">
        <w:rPr>
          <w:rFonts w:ascii="BodoniMT" w:hAnsi="BodoniMT" w:cs="BodoniMT"/>
          <w:sz w:val="24"/>
          <w:szCs w:val="24"/>
        </w:rPr>
        <w:t xml:space="preserve">ativo. </w:t>
      </w:r>
      <w:r>
        <w:rPr>
          <w:rFonts w:ascii="BodoniMT" w:hAnsi="BodoniMT" w:cs="BodoniMT"/>
          <w:sz w:val="24"/>
          <w:szCs w:val="24"/>
        </w:rPr>
        <w:t>Ley de Personal Policial. De</w:t>
      </w:r>
      <w:r w:rsidR="002A675E">
        <w:rPr>
          <w:rFonts w:ascii="BodoniMT" w:hAnsi="BodoniMT" w:cs="BodoniMT"/>
          <w:sz w:val="24"/>
          <w:szCs w:val="24"/>
        </w:rPr>
        <w:t xml:space="preserve">recho Internacional. </w:t>
      </w:r>
      <w:proofErr w:type="spellStart"/>
      <w:r w:rsidR="002A675E">
        <w:rPr>
          <w:rFonts w:ascii="BodoniMT" w:hAnsi="BodoniMT" w:cs="BodoniMT"/>
          <w:sz w:val="24"/>
          <w:szCs w:val="24"/>
        </w:rPr>
        <w:t>Ameri-pol</w:t>
      </w:r>
      <w:proofErr w:type="spellEnd"/>
      <w:proofErr w:type="gramStart"/>
      <w:r w:rsidR="002A675E">
        <w:rPr>
          <w:rFonts w:ascii="BodoniMT" w:hAnsi="BodoniMT" w:cs="BodoniMT"/>
          <w:sz w:val="24"/>
          <w:szCs w:val="24"/>
        </w:rPr>
        <w:t>..</w:t>
      </w:r>
      <w:proofErr w:type="gramEnd"/>
      <w:r>
        <w:rPr>
          <w:rFonts w:ascii="BodoniMT" w:hAnsi="BodoniMT" w:cs="BodoniMT"/>
          <w:sz w:val="24"/>
          <w:szCs w:val="24"/>
        </w:rPr>
        <w:t xml:space="preserve"> Presentación y defensa de proyectos  a la comunidad y medios de comunicación.</w:t>
      </w:r>
    </w:p>
    <w:p w:rsidR="002A675E" w:rsidRDefault="002A675E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6. Estrategias de enseñanza y aprendizaje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Las clases serán organizadas principalmente para la </w:t>
      </w:r>
      <w:proofErr w:type="spellStart"/>
      <w:r>
        <w:rPr>
          <w:rFonts w:ascii="BodoniMT" w:hAnsi="BodoniMT" w:cs="BodoniMT"/>
          <w:sz w:val="24"/>
          <w:szCs w:val="24"/>
        </w:rPr>
        <w:t>presencialidad</w:t>
      </w:r>
      <w:proofErr w:type="spellEnd"/>
      <w:r>
        <w:rPr>
          <w:rFonts w:ascii="BodoniMT" w:hAnsi="BodoniMT" w:cs="BodoniMT"/>
          <w:sz w:val="24"/>
          <w:szCs w:val="24"/>
        </w:rPr>
        <w:t xml:space="preserve"> situada o localizada.</w:t>
      </w:r>
      <w:r w:rsidR="002A675E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 xml:space="preserve">Se dispondrá de la opción de </w:t>
      </w:r>
      <w:proofErr w:type="spellStart"/>
      <w:r>
        <w:rPr>
          <w:rFonts w:ascii="BodoniMT" w:hAnsi="BodoniMT" w:cs="BodoniMT"/>
          <w:sz w:val="24"/>
          <w:szCs w:val="24"/>
        </w:rPr>
        <w:t>presencialidad</w:t>
      </w:r>
      <w:proofErr w:type="spellEnd"/>
      <w:r>
        <w:rPr>
          <w:rFonts w:ascii="BodoniMT" w:hAnsi="BodoniMT" w:cs="BodoniMT"/>
          <w:sz w:val="24"/>
          <w:szCs w:val="24"/>
        </w:rPr>
        <w:t xml:space="preserve"> remota para aquellos estudiantes que por motivos fundados lo requieran.</w:t>
      </w:r>
      <w:r w:rsidR="002A675E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Se trabajará con el aula virtual de la asignatura de modo complementario. Los estudiantes tendrás la opción de solicitar tutorías virtuales utilizando plataforma de videoconferencia (Zoom).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Se propone abordar los contenidos con las siguientes modalidades de trabajo: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CambriaMath" w:eastAsia="CambriaMath" w:hAnsi="BodoniMT-Bold" w:cs="CambriaMath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Exposiciones dialogadas;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CambriaMath" w:eastAsia="CambriaMath" w:hAnsi="BodoniMT-Bold" w:cs="CambriaMath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Grupos de discusión y de estudio; Estudio de casos.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En este espacio curricular se conjugarán momentos de: Clases teórico</w:t>
      </w: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BodoniMT" w:hAnsi="BodoniMT" w:cs="BodoniMT"/>
          <w:sz w:val="24"/>
          <w:szCs w:val="24"/>
        </w:rPr>
        <w:t>prácticas.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Análisis de casos de investigación (artículos científicos, ponencias, tesis, informes de instituciones de seguridad, documentales, series, entrevistas).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Trabajo extra</w:t>
      </w: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BodoniMT" w:hAnsi="BodoniMT" w:cs="BodoniMT"/>
          <w:sz w:val="24"/>
          <w:szCs w:val="24"/>
        </w:rPr>
        <w:t>clase: Lecturas, búsqueda y selección de información, resolución de guías de estudio.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Actividades y recursos en el Aula virtual como apoyo al trabajo individual y en equipo que deberán realizar los estudiantes.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Tutorías. La acción tutorial extra</w:t>
      </w: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BodoniMT" w:hAnsi="BodoniMT" w:cs="BodoniMT"/>
          <w:sz w:val="24"/>
          <w:szCs w:val="24"/>
        </w:rPr>
        <w:t>clase opcional (virtual) es una estrategia que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contribuye</w:t>
      </w:r>
      <w:proofErr w:type="gramEnd"/>
      <w:r>
        <w:rPr>
          <w:rFonts w:ascii="BodoniMT" w:hAnsi="BodoniMT" w:cs="BodoniMT"/>
          <w:sz w:val="24"/>
          <w:szCs w:val="24"/>
        </w:rPr>
        <w:t xml:space="preserve"> a la gradual autonomía del estudiante, al estudio independiente y a </w:t>
      </w:r>
      <w:proofErr w:type="spellStart"/>
      <w:r>
        <w:rPr>
          <w:rFonts w:ascii="BodoniMT" w:hAnsi="BodoniMT" w:cs="BodoniMT"/>
          <w:sz w:val="24"/>
          <w:szCs w:val="24"/>
        </w:rPr>
        <w:t>lapersonalización</w:t>
      </w:r>
      <w:proofErr w:type="spellEnd"/>
      <w:r>
        <w:rPr>
          <w:rFonts w:ascii="BodoniMT" w:hAnsi="BodoniMT" w:cs="BodoniMT"/>
          <w:sz w:val="24"/>
          <w:szCs w:val="24"/>
        </w:rPr>
        <w:t xml:space="preserve"> de los procesos de enseñanza y aprendizaje al atender demandas y requerimientos de apoyo.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AULA VIRTUAL</w:t>
      </w:r>
      <w:r>
        <w:rPr>
          <w:rFonts w:ascii="CambriaMath" w:eastAsia="CambriaMath" w:hAnsi="BodoniMT-Bold" w:cs="CambriaMath" w:hint="eastAsia"/>
          <w:sz w:val="24"/>
          <w:szCs w:val="24"/>
        </w:rPr>
        <w:t>‐</w:t>
      </w:r>
      <w:r>
        <w:rPr>
          <w:rFonts w:ascii="CambriaMath" w:eastAsia="CambriaMath" w:hAnsi="BodoniMT-Bold" w:cs="CambriaMath"/>
          <w:sz w:val="24"/>
          <w:szCs w:val="24"/>
        </w:rPr>
        <w:t xml:space="preserve"> </w:t>
      </w:r>
      <w:r>
        <w:rPr>
          <w:rFonts w:ascii="BodoniMT-Bold" w:hAnsi="BodoniMT-Bold" w:cs="BodoniMT-Bold"/>
          <w:b/>
          <w:bCs/>
          <w:sz w:val="24"/>
          <w:szCs w:val="24"/>
        </w:rPr>
        <w:t xml:space="preserve">Plataforma </w:t>
      </w:r>
      <w:proofErr w:type="spellStart"/>
      <w:r>
        <w:rPr>
          <w:rFonts w:ascii="BodoniMT-Bold" w:hAnsi="BodoniMT-Bold" w:cs="BodoniMT-Bold"/>
          <w:b/>
          <w:bCs/>
          <w:sz w:val="24"/>
          <w:szCs w:val="24"/>
        </w:rPr>
        <w:t>Moodle</w:t>
      </w:r>
      <w:proofErr w:type="spellEnd"/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Los encuentros presenciales tendrán continuidad en el aula virtual. El entorno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lastRenderedPageBreak/>
        <w:t>virtual</w:t>
      </w:r>
      <w:proofErr w:type="gramEnd"/>
      <w:r>
        <w:rPr>
          <w:rFonts w:ascii="BodoniMT" w:hAnsi="BodoniMT" w:cs="BodoniMT"/>
          <w:sz w:val="24"/>
          <w:szCs w:val="24"/>
        </w:rPr>
        <w:t xml:space="preserve"> de enseñanza y aprendizaje será un espacio para compartir materiales y recursos de la asignatura; de intercambio y debate (foros); de construcción colectiva y colaborativa del conocimiento; de diálogo y de seguimiento y evaluación de procesos y productos.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7. Métodos de evaluación “para” los aprendizajes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Para evaluar los aprendizajes de los estudiantes se tendrá en cuenta sus procesos y resultados en los distintos espacios de participación y de actividades que se generen a lo largo del cursado de la asignatura. Los trabajos serán grupales, en grupos reducidos, por considerar que la constitución de un “equipo” de trabajo posibilita la discusión centrada en el tema y el cruce de distintas miradas que enriquecen el aprendizaje; alternando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instancias</w:t>
      </w:r>
      <w:proofErr w:type="gramEnd"/>
      <w:r>
        <w:rPr>
          <w:rFonts w:ascii="BodoniMT" w:hAnsi="BodoniMT" w:cs="BodoniMT"/>
          <w:sz w:val="24"/>
          <w:szCs w:val="24"/>
        </w:rPr>
        <w:t xml:space="preserve"> individuales.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Las instancias de </w:t>
      </w:r>
      <w:r>
        <w:rPr>
          <w:rFonts w:ascii="BodoniMT-Italic" w:hAnsi="BodoniMT-Italic" w:cs="BodoniMT-Italic"/>
          <w:i/>
          <w:iCs/>
          <w:sz w:val="24"/>
          <w:szCs w:val="24"/>
        </w:rPr>
        <w:t xml:space="preserve">evaluación continua </w:t>
      </w:r>
      <w:r>
        <w:rPr>
          <w:rFonts w:ascii="BodoniMT" w:hAnsi="BodoniMT" w:cs="BodoniMT"/>
          <w:sz w:val="24"/>
          <w:szCs w:val="24"/>
        </w:rPr>
        <w:t>incluirán las siguientes actividades: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- Resolución de guías de lectura de material bibliográfico.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- Ejercicios prácticos -vinculados al campo de la seguridad pública y ciudadana- de análisis y reflexión. Estos tendrán continuidad en el aula virtual de la asignatura, por ejemplo en un foro de debate o trabajo colaborativo en la Wiki.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Mientras que la </w:t>
      </w:r>
      <w:r>
        <w:rPr>
          <w:rFonts w:ascii="BodoniMT-Italic" w:hAnsi="BodoniMT-Italic" w:cs="BodoniMT-Italic"/>
          <w:i/>
          <w:iCs/>
          <w:sz w:val="24"/>
          <w:szCs w:val="24"/>
        </w:rPr>
        <w:t xml:space="preserve">evaluación de resultados </w:t>
      </w:r>
      <w:r>
        <w:rPr>
          <w:rFonts w:ascii="BodoniMT" w:hAnsi="BodoniMT" w:cs="BodoniMT"/>
          <w:sz w:val="24"/>
          <w:szCs w:val="24"/>
        </w:rPr>
        <w:t>consistirá en: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- Exámenes parciales que serán orales o escritos, y una instancia de trabajo integrador que se sustanciará con la presentación de un bosquejo de proyecto de investigación que contendrá los siguientes componentes: tema, problematización, supuestos de partida,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objetivos</w:t>
      </w:r>
      <w:proofErr w:type="gramEnd"/>
      <w:r>
        <w:rPr>
          <w:rFonts w:ascii="BodoniMT" w:hAnsi="BodoniMT" w:cs="BodoniMT"/>
          <w:sz w:val="24"/>
          <w:szCs w:val="24"/>
        </w:rPr>
        <w:t>, referencias teóricas y argumentos que justifiquen la importancia de la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gramStart"/>
      <w:r>
        <w:rPr>
          <w:rFonts w:ascii="BodoniMT" w:hAnsi="BodoniMT" w:cs="BodoniMT"/>
          <w:sz w:val="24"/>
          <w:szCs w:val="24"/>
        </w:rPr>
        <w:t>indagación</w:t>
      </w:r>
      <w:proofErr w:type="gramEnd"/>
      <w:r>
        <w:rPr>
          <w:rFonts w:ascii="BodoniMT" w:hAnsi="BodoniMT" w:cs="BodoniMT"/>
          <w:sz w:val="24"/>
          <w:szCs w:val="24"/>
        </w:rPr>
        <w:t xml:space="preserve"> que se propone. Esta presentación será un ensayo del examen final de la signatura.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La modalidad de cursado será regular con examen final, hacerlo de este modo requiere la exigenc</w:t>
      </w:r>
      <w:r w:rsidR="002A675E">
        <w:rPr>
          <w:rFonts w:ascii="BodoniMT" w:hAnsi="BodoniMT" w:cs="BodoniMT"/>
          <w:sz w:val="24"/>
          <w:szCs w:val="24"/>
        </w:rPr>
        <w:t xml:space="preserve">ia académica de asistencia al 80 </w:t>
      </w:r>
      <w:r>
        <w:rPr>
          <w:rFonts w:ascii="BodoniMT" w:hAnsi="BodoniMT" w:cs="BodoniMT"/>
          <w:sz w:val="24"/>
          <w:szCs w:val="24"/>
        </w:rPr>
        <w:t>% de las clases y aprobación de todas las actividades prácticas y exámenes parciales. Los estudiantes que no logren acreditar el espacio según esta modalidad podrán rendir en calidad de libres.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Criterios de evaluación: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Lectura y análisis del material bibliográfico.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Participación activa en clase y tutorías.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Capacidad de transferencia de los contenidos a situaciones concretas.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lastRenderedPageBreak/>
        <w:t>Claridad en la comunicación de la información oral y escrita.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Apropiación del lenguaje técnico de la asignatura.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Capacidad para reflexionar críticamente sobre casos concretos.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Compromiso con las tareas y los trabajos grupales e individuales.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Capacidad para dar cuenta de la apropiación de las mínimas herramientas </w:t>
      </w:r>
      <w:proofErr w:type="spellStart"/>
      <w:r>
        <w:rPr>
          <w:rFonts w:ascii="BodoniMT" w:hAnsi="BodoniMT" w:cs="BodoniMT"/>
          <w:sz w:val="24"/>
          <w:szCs w:val="24"/>
        </w:rPr>
        <w:t>teóricometodológicas</w:t>
      </w:r>
      <w:proofErr w:type="spellEnd"/>
      <w:r w:rsidR="002A675E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y epistemológicas en las actividades propuestas.</w:t>
      </w:r>
    </w:p>
    <w:p w:rsidR="002A675E" w:rsidRDefault="002A675E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8. Trabajos Prácticos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Se realizarán trabajos prácticos con el objetivo de analizar investigaciones sociales vinculadas al campo de la seguridad pública. Los posibles objetos de análisis podrán ser:</w:t>
      </w:r>
      <w:r w:rsidR="002A675E">
        <w:rPr>
          <w:rFonts w:ascii="BodoniMT" w:hAnsi="BodoniMT" w:cs="BodoniMT"/>
          <w:sz w:val="24"/>
          <w:szCs w:val="24"/>
        </w:rPr>
        <w:t xml:space="preserve"> </w:t>
      </w:r>
      <w:r>
        <w:rPr>
          <w:rFonts w:ascii="BodoniMT" w:hAnsi="BodoniMT" w:cs="BodoniMT"/>
          <w:sz w:val="24"/>
          <w:szCs w:val="24"/>
        </w:rPr>
        <w:t>artículos publicados en revistas especializadas, entrevistas a investigadores, ponencias, etc. es decir, todo aquello donde el estudiante pueda visualizar la aplicación de metodología científica en investigaciones sociales.</w:t>
      </w:r>
    </w:p>
    <w:p w:rsidR="002A675E" w:rsidRDefault="002A675E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9. Bibliografía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La lista que sigue es bibliografía básica de los fundamentos epistemológicos y los procesos metodológicos de la investigación social. Además, se trabaja con bibliografía pertinente al tema y al problema a investigar sugerida por la cátedra y completada con la búsqueda autónoma de los estudiantes.</w:t>
      </w:r>
    </w:p>
    <w:p w:rsidR="002A675E" w:rsidRDefault="002A675E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Bold" w:hAnsi="BodoniMT-Bold" w:cs="BodoniMT-Bold"/>
          <w:b/>
          <w:bCs/>
          <w:sz w:val="24"/>
          <w:szCs w:val="24"/>
        </w:rPr>
      </w:pPr>
      <w:r>
        <w:rPr>
          <w:rFonts w:ascii="BodoniMT-Bold" w:hAnsi="BodoniMT-Bold" w:cs="BodoniMT-Bold"/>
          <w:b/>
          <w:bCs/>
          <w:sz w:val="24"/>
          <w:szCs w:val="24"/>
        </w:rPr>
        <w:t>9.1. De Metodología (obligatoria)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Arnal, J.; Del Rincón, D.; Latorre, A. (1992). </w:t>
      </w:r>
      <w:r>
        <w:rPr>
          <w:rFonts w:ascii="BodoniMT-Italic" w:hAnsi="BodoniMT-Italic" w:cs="BodoniMT-Italic"/>
          <w:i/>
          <w:iCs/>
          <w:sz w:val="24"/>
          <w:szCs w:val="24"/>
        </w:rPr>
        <w:t>Fundamentos y Metodología</w:t>
      </w:r>
      <w:r>
        <w:rPr>
          <w:rFonts w:ascii="BodoniMT" w:hAnsi="BodoniMT" w:cs="BodoniMT"/>
          <w:sz w:val="24"/>
          <w:szCs w:val="24"/>
        </w:rPr>
        <w:t xml:space="preserve">. </w:t>
      </w:r>
      <w:proofErr w:type="spellStart"/>
      <w:r>
        <w:rPr>
          <w:rFonts w:ascii="BodoniMT" w:hAnsi="BodoniMT" w:cs="BodoniMT"/>
          <w:sz w:val="24"/>
          <w:szCs w:val="24"/>
        </w:rPr>
        <w:t>Barcelona</w:t>
      </w:r>
      <w:proofErr w:type="gramStart"/>
      <w:r>
        <w:rPr>
          <w:rFonts w:ascii="BodoniMT" w:hAnsi="BodoniMT" w:cs="BodoniMT"/>
          <w:sz w:val="24"/>
          <w:szCs w:val="24"/>
        </w:rPr>
        <w:t>:Labor</w:t>
      </w:r>
      <w:proofErr w:type="spellEnd"/>
      <w:proofErr w:type="gramEnd"/>
      <w:r>
        <w:rPr>
          <w:rFonts w:ascii="BodoniMT" w:hAnsi="BodoniMT" w:cs="BodoniMT"/>
          <w:sz w:val="24"/>
          <w:szCs w:val="24"/>
        </w:rPr>
        <w:t>.</w:t>
      </w:r>
    </w:p>
    <w:p w:rsidR="00622ADC" w:rsidRPr="008A1AEF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proofErr w:type="spellStart"/>
      <w:r>
        <w:rPr>
          <w:rFonts w:ascii="BodoniMT" w:hAnsi="BodoniMT" w:cs="BodoniMT"/>
          <w:sz w:val="24"/>
          <w:szCs w:val="24"/>
        </w:rPr>
        <w:t>Borsotti</w:t>
      </w:r>
      <w:proofErr w:type="spellEnd"/>
      <w:r>
        <w:rPr>
          <w:rFonts w:ascii="BodoniMT" w:hAnsi="BodoniMT" w:cs="BodoniMT"/>
          <w:sz w:val="24"/>
          <w:szCs w:val="24"/>
        </w:rPr>
        <w:t xml:space="preserve">, C. (2015). </w:t>
      </w:r>
      <w:r>
        <w:rPr>
          <w:rFonts w:ascii="BodoniMT-Italic" w:hAnsi="BodoniMT-Italic" w:cs="BodoniMT-Italic"/>
          <w:i/>
          <w:iCs/>
          <w:sz w:val="24"/>
          <w:szCs w:val="24"/>
        </w:rPr>
        <w:t>La elaboración de un proyecto de investigación en ciencias sociales empíricas</w:t>
      </w:r>
      <w:r>
        <w:rPr>
          <w:rFonts w:ascii="BodoniMT" w:hAnsi="BodoniMT" w:cs="BodoniMT"/>
          <w:sz w:val="24"/>
          <w:szCs w:val="24"/>
        </w:rPr>
        <w:t>. Bs. As.: Miño y Dávila editores.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(2020). Normas APA. 7ª ed. https://normas-apa.org/wp-content/uploads/GuiaNormas-APA-7ma-edicion.pdf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>Díaz, E. (1997</w:t>
      </w:r>
      <w:r>
        <w:rPr>
          <w:rFonts w:ascii="BodoniMT-Italic" w:hAnsi="BodoniMT-Italic" w:cs="BodoniMT-Italic"/>
          <w:i/>
          <w:iCs/>
          <w:sz w:val="24"/>
          <w:szCs w:val="24"/>
        </w:rPr>
        <w:t>). Metodología de las Ciencias Sociales</w:t>
      </w:r>
      <w:r>
        <w:rPr>
          <w:rFonts w:ascii="BodoniMT" w:hAnsi="BodoniMT" w:cs="BodoniMT"/>
          <w:sz w:val="24"/>
          <w:szCs w:val="24"/>
        </w:rPr>
        <w:t xml:space="preserve">. Bs. As.: </w:t>
      </w:r>
      <w:proofErr w:type="spellStart"/>
      <w:r>
        <w:rPr>
          <w:rFonts w:ascii="BodoniMT" w:hAnsi="BodoniMT" w:cs="BodoniMT"/>
          <w:sz w:val="24"/>
          <w:szCs w:val="24"/>
        </w:rPr>
        <w:t>Biblos</w:t>
      </w:r>
      <w:proofErr w:type="spellEnd"/>
      <w:r>
        <w:rPr>
          <w:rFonts w:ascii="BodoniMT" w:hAnsi="BodoniMT" w:cs="BodoniMT"/>
          <w:sz w:val="24"/>
          <w:szCs w:val="24"/>
        </w:rPr>
        <w:t>.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proofErr w:type="spellStart"/>
      <w:r>
        <w:rPr>
          <w:rFonts w:ascii="BodoniMT" w:hAnsi="BodoniMT" w:cs="BodoniMT"/>
          <w:sz w:val="24"/>
          <w:szCs w:val="24"/>
        </w:rPr>
        <w:t>Flick</w:t>
      </w:r>
      <w:proofErr w:type="spellEnd"/>
      <w:r>
        <w:rPr>
          <w:rFonts w:ascii="BodoniMT" w:hAnsi="BodoniMT" w:cs="BodoniMT"/>
          <w:sz w:val="24"/>
          <w:szCs w:val="24"/>
        </w:rPr>
        <w:t xml:space="preserve">, U. (2004). </w:t>
      </w:r>
      <w:r>
        <w:rPr>
          <w:rFonts w:ascii="BodoniMT-Italic" w:hAnsi="BodoniMT-Italic" w:cs="BodoniMT-Italic"/>
          <w:i/>
          <w:iCs/>
          <w:sz w:val="24"/>
          <w:szCs w:val="24"/>
        </w:rPr>
        <w:t>Introducción a la Investigación Cualitativa</w:t>
      </w:r>
      <w:r>
        <w:rPr>
          <w:rFonts w:ascii="BodoniMT" w:hAnsi="BodoniMT" w:cs="BodoniMT"/>
          <w:sz w:val="24"/>
          <w:szCs w:val="24"/>
        </w:rPr>
        <w:t>. Morata: Madrid.</w:t>
      </w:r>
    </w:p>
    <w:p w:rsidR="00622ADC" w:rsidRDefault="00622ADC" w:rsidP="002A675E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Hernández </w:t>
      </w:r>
      <w:proofErr w:type="spellStart"/>
      <w:r>
        <w:rPr>
          <w:rFonts w:ascii="BodoniMT" w:hAnsi="BodoniMT" w:cs="BodoniMT"/>
          <w:sz w:val="24"/>
          <w:szCs w:val="24"/>
        </w:rPr>
        <w:t>Sampieri</w:t>
      </w:r>
      <w:proofErr w:type="spellEnd"/>
      <w:r>
        <w:rPr>
          <w:rFonts w:ascii="BodoniMT" w:hAnsi="BodoniMT" w:cs="BodoniMT"/>
          <w:sz w:val="24"/>
          <w:szCs w:val="24"/>
        </w:rPr>
        <w:t xml:space="preserve">, R.; Fernández Collado, C. y Baptista Lucio, P. (2007). 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t xml:space="preserve">Pardo, R. (2007). “Ciencias Fácticas. La problemática del método en ciencias naturales </w:t>
      </w:r>
      <w:proofErr w:type="spellStart"/>
      <w:r>
        <w:rPr>
          <w:rFonts w:ascii="BodoniMT" w:hAnsi="BodoniMT" w:cs="BodoniMT"/>
          <w:sz w:val="24"/>
          <w:szCs w:val="24"/>
        </w:rPr>
        <w:t>ysociales</w:t>
      </w:r>
      <w:proofErr w:type="spellEnd"/>
      <w:r>
        <w:rPr>
          <w:rFonts w:ascii="BodoniMT" w:hAnsi="BodoniMT" w:cs="BodoniMT"/>
          <w:sz w:val="24"/>
          <w:szCs w:val="24"/>
        </w:rPr>
        <w:t xml:space="preserve">” (pp. 67-100). En </w:t>
      </w:r>
      <w:proofErr w:type="spellStart"/>
      <w:r>
        <w:rPr>
          <w:rFonts w:ascii="BodoniMT" w:hAnsi="BodoniMT" w:cs="BodoniMT"/>
          <w:sz w:val="24"/>
          <w:szCs w:val="24"/>
        </w:rPr>
        <w:t>Diaz</w:t>
      </w:r>
      <w:proofErr w:type="spellEnd"/>
      <w:r>
        <w:rPr>
          <w:rFonts w:ascii="BodoniMT" w:hAnsi="BodoniMT" w:cs="BodoniMT"/>
          <w:sz w:val="24"/>
          <w:szCs w:val="24"/>
        </w:rPr>
        <w:t xml:space="preserve">, E. (coord.). </w:t>
      </w:r>
      <w:r>
        <w:rPr>
          <w:rFonts w:ascii="BodoniMT-Italic" w:hAnsi="BodoniMT-Italic" w:cs="BodoniMT-Italic"/>
          <w:i/>
          <w:iCs/>
          <w:sz w:val="24"/>
          <w:szCs w:val="24"/>
        </w:rPr>
        <w:t>Metodología de las ciencias sociales</w:t>
      </w:r>
      <w:r>
        <w:rPr>
          <w:rFonts w:ascii="BodoniMT" w:hAnsi="BodoniMT" w:cs="BodoniMT"/>
          <w:sz w:val="24"/>
          <w:szCs w:val="24"/>
        </w:rPr>
        <w:t>. Bs.As.:</w:t>
      </w:r>
    </w:p>
    <w:p w:rsidR="00622ADC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" w:hAnsi="BodoniMT" w:cs="BodoniMT"/>
          <w:sz w:val="24"/>
          <w:szCs w:val="24"/>
        </w:rPr>
      </w:pPr>
      <w:r>
        <w:rPr>
          <w:rFonts w:ascii="BodoniMT" w:hAnsi="BodoniMT" w:cs="BodoniMT"/>
          <w:sz w:val="24"/>
          <w:szCs w:val="24"/>
        </w:rPr>
        <w:lastRenderedPageBreak/>
        <w:t xml:space="preserve">Sabino, J.C. (1989). </w:t>
      </w:r>
      <w:r>
        <w:rPr>
          <w:rFonts w:ascii="BodoniMT-Italic" w:hAnsi="BodoniMT-Italic" w:cs="BodoniMT-Italic"/>
          <w:i/>
          <w:iCs/>
          <w:sz w:val="24"/>
          <w:szCs w:val="24"/>
        </w:rPr>
        <w:t>El Proceso de Investigación</w:t>
      </w:r>
      <w:r>
        <w:rPr>
          <w:rFonts w:ascii="BodoniMT" w:hAnsi="BodoniMT" w:cs="BodoniMT"/>
          <w:sz w:val="24"/>
          <w:szCs w:val="24"/>
        </w:rPr>
        <w:t xml:space="preserve">. Bs. A.: </w:t>
      </w:r>
      <w:proofErr w:type="spellStart"/>
      <w:r>
        <w:rPr>
          <w:rFonts w:ascii="BodoniMT" w:hAnsi="BodoniMT" w:cs="BodoniMT"/>
          <w:sz w:val="24"/>
          <w:szCs w:val="24"/>
        </w:rPr>
        <w:t>Hvmanitas</w:t>
      </w:r>
      <w:proofErr w:type="spellEnd"/>
      <w:r>
        <w:rPr>
          <w:rFonts w:ascii="BodoniMT" w:hAnsi="BodoniMT" w:cs="BodoniMT"/>
          <w:sz w:val="24"/>
          <w:szCs w:val="24"/>
        </w:rPr>
        <w:t>.</w:t>
      </w:r>
    </w:p>
    <w:p w:rsidR="00622ADC" w:rsidRPr="008A1AEF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proofErr w:type="spellStart"/>
      <w:r>
        <w:rPr>
          <w:rFonts w:ascii="BodoniMT" w:hAnsi="BodoniMT" w:cs="BodoniMT"/>
          <w:sz w:val="24"/>
          <w:szCs w:val="24"/>
        </w:rPr>
        <w:t>Samaja</w:t>
      </w:r>
      <w:proofErr w:type="spellEnd"/>
      <w:r>
        <w:rPr>
          <w:rFonts w:ascii="BodoniMT" w:hAnsi="BodoniMT" w:cs="BodoniMT"/>
          <w:sz w:val="24"/>
          <w:szCs w:val="24"/>
        </w:rPr>
        <w:t xml:space="preserve">, J. (1993). </w:t>
      </w:r>
      <w:r>
        <w:rPr>
          <w:rFonts w:ascii="BodoniMT-Italic" w:hAnsi="BodoniMT-Italic" w:cs="BodoniMT-Italic"/>
          <w:i/>
          <w:iCs/>
          <w:sz w:val="24"/>
          <w:szCs w:val="24"/>
        </w:rPr>
        <w:t>Epistemología y Metodología. Elementos para una teoría de la investigación científica</w:t>
      </w:r>
      <w:r>
        <w:rPr>
          <w:rFonts w:ascii="BodoniMT" w:hAnsi="BodoniMT" w:cs="BodoniMT"/>
          <w:sz w:val="24"/>
          <w:szCs w:val="24"/>
        </w:rPr>
        <w:t xml:space="preserve">. Bs. As.: </w:t>
      </w:r>
      <w:proofErr w:type="spellStart"/>
      <w:r>
        <w:rPr>
          <w:rFonts w:ascii="BodoniMT" w:hAnsi="BodoniMT" w:cs="BodoniMT"/>
          <w:sz w:val="24"/>
          <w:szCs w:val="24"/>
        </w:rPr>
        <w:t>Eudeba</w:t>
      </w:r>
      <w:proofErr w:type="spellEnd"/>
      <w:r>
        <w:rPr>
          <w:rFonts w:ascii="BodoniMT" w:hAnsi="BodoniMT" w:cs="BodoniMT"/>
          <w:sz w:val="24"/>
          <w:szCs w:val="24"/>
        </w:rPr>
        <w:t>.</w:t>
      </w:r>
    </w:p>
    <w:p w:rsidR="00622ADC" w:rsidRPr="008A1AEF" w:rsidRDefault="00622ADC" w:rsidP="00622ADC">
      <w:pPr>
        <w:autoSpaceDE w:val="0"/>
        <w:autoSpaceDN w:val="0"/>
        <w:adjustRightInd w:val="0"/>
        <w:spacing w:line="360" w:lineRule="auto"/>
        <w:jc w:val="both"/>
        <w:rPr>
          <w:rFonts w:ascii="BodoniMT-Italic" w:hAnsi="BodoniMT-Italic" w:cs="BodoniMT-Italic"/>
          <w:i/>
          <w:iCs/>
          <w:sz w:val="24"/>
          <w:szCs w:val="24"/>
        </w:rPr>
      </w:pPr>
      <w:proofErr w:type="spellStart"/>
      <w:r>
        <w:rPr>
          <w:rFonts w:ascii="BodoniMT" w:hAnsi="BodoniMT" w:cs="BodoniMT"/>
          <w:sz w:val="24"/>
          <w:szCs w:val="24"/>
        </w:rPr>
        <w:t>Samaja</w:t>
      </w:r>
      <w:proofErr w:type="spellEnd"/>
      <w:r>
        <w:rPr>
          <w:rFonts w:ascii="BodoniMT" w:hAnsi="BodoniMT" w:cs="BodoniMT"/>
          <w:sz w:val="24"/>
          <w:szCs w:val="24"/>
        </w:rPr>
        <w:t xml:space="preserve">, J. (2004). </w:t>
      </w:r>
      <w:r>
        <w:rPr>
          <w:rFonts w:ascii="BodoniMT-Italic" w:hAnsi="BodoniMT-Italic" w:cs="BodoniMT-Italic"/>
          <w:i/>
          <w:iCs/>
          <w:sz w:val="24"/>
          <w:szCs w:val="24"/>
        </w:rPr>
        <w:t xml:space="preserve">Proceso, diseño y proyecto en investigación científica. Cómo elaborar </w:t>
      </w:r>
      <w:proofErr w:type="spellStart"/>
      <w:r>
        <w:rPr>
          <w:rFonts w:ascii="BodoniMT-Italic" w:hAnsi="BodoniMT-Italic" w:cs="BodoniMT-Italic"/>
          <w:i/>
          <w:iCs/>
          <w:sz w:val="24"/>
          <w:szCs w:val="24"/>
        </w:rPr>
        <w:t>unproyecto</w:t>
      </w:r>
      <w:proofErr w:type="spellEnd"/>
      <w:r>
        <w:rPr>
          <w:rFonts w:ascii="BodoniMT-Italic" w:hAnsi="BodoniMT-Italic" w:cs="BodoniMT-Italic"/>
          <w:i/>
          <w:iCs/>
          <w:sz w:val="24"/>
          <w:szCs w:val="24"/>
        </w:rPr>
        <w:t xml:space="preserve"> sin confundirlo con el diseño ni con el proceso</w:t>
      </w:r>
      <w:r>
        <w:rPr>
          <w:rFonts w:ascii="BodoniMT" w:hAnsi="BodoniMT" w:cs="BodoniMT"/>
          <w:sz w:val="24"/>
          <w:szCs w:val="24"/>
        </w:rPr>
        <w:t>. Bs. As.</w:t>
      </w:r>
      <w:proofErr w:type="gramStart"/>
      <w:r>
        <w:rPr>
          <w:rFonts w:ascii="BodoniMT" w:hAnsi="BodoniMT" w:cs="BodoniMT"/>
          <w:sz w:val="24"/>
          <w:szCs w:val="24"/>
        </w:rPr>
        <w:t>: .</w:t>
      </w:r>
      <w:proofErr w:type="gramEnd"/>
    </w:p>
    <w:p w:rsidR="00622ADC" w:rsidRPr="00FD20E5" w:rsidRDefault="00622ADC" w:rsidP="00622ADC">
      <w:pPr>
        <w:spacing w:line="360" w:lineRule="auto"/>
        <w:jc w:val="both"/>
      </w:pPr>
      <w:proofErr w:type="spellStart"/>
      <w:r>
        <w:rPr>
          <w:rFonts w:ascii="BodoniMT" w:hAnsi="BodoniMT" w:cs="BodoniMT"/>
          <w:sz w:val="24"/>
          <w:szCs w:val="24"/>
        </w:rPr>
        <w:t>Ynoub</w:t>
      </w:r>
      <w:proofErr w:type="spellEnd"/>
      <w:r>
        <w:rPr>
          <w:rFonts w:ascii="BodoniMT" w:hAnsi="BodoniMT" w:cs="BodoniMT"/>
          <w:sz w:val="24"/>
          <w:szCs w:val="24"/>
        </w:rPr>
        <w:t xml:space="preserve">, R. (2007). </w:t>
      </w:r>
      <w:r>
        <w:rPr>
          <w:rFonts w:ascii="BodoniMT-Italic" w:hAnsi="BodoniMT-Italic" w:cs="BodoniMT-Italic"/>
          <w:i/>
          <w:iCs/>
          <w:sz w:val="24"/>
          <w:szCs w:val="24"/>
        </w:rPr>
        <w:t>El Proyecto y la metodología de la investigación</w:t>
      </w:r>
      <w:r>
        <w:rPr>
          <w:rFonts w:ascii="BodoniMT" w:hAnsi="BodoniMT" w:cs="BodoniMT"/>
          <w:sz w:val="24"/>
          <w:szCs w:val="24"/>
        </w:rPr>
        <w:t>. Bs. As.: Ed. CENGAGE</w:t>
      </w:r>
    </w:p>
    <w:p w:rsidR="00FD232A" w:rsidRDefault="00FD232A" w:rsidP="006B68AB">
      <w:pPr>
        <w:jc w:val="both"/>
      </w:pPr>
    </w:p>
    <w:sectPr w:rsidR="00FD2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ED"/>
    <w:rsid w:val="002A675E"/>
    <w:rsid w:val="00622ADC"/>
    <w:rsid w:val="006B68AB"/>
    <w:rsid w:val="00992CED"/>
    <w:rsid w:val="00EF3BA9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AB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AB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2024-03-29T23:29:00Z</dcterms:created>
  <dcterms:modified xsi:type="dcterms:W3CDTF">2024-03-29T23:29:00Z</dcterms:modified>
</cp:coreProperties>
</file>